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52FD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За что бы Максим Кантор ни брался – вылезает полемический подтекст. Взять хотя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бы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его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Livre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d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artiste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- «Баллады о Робин Гуде». Библиофильское издание, обращенное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к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лимитированной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малым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тиражом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и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большой ценой аудитории;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какая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уж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там полемика в этом узком кругу респектабельных персон и институций… Тем не менее…Но сначала – терминологческое…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Понятия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sBook</w:t>
      </w:r>
      <w:proofErr w:type="spellEnd"/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и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Livre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d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artiste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– калькируют друг друга. Но когда дело касается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терминоприменения,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возникает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определенная коллизия.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Livre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d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artiste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– со времен Воллара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( на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другом берегу Ла Манша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пораньше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–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У.Морриса и Д.Рескина) – книга художника читающего. И это - при всем бьющем через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край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избытке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художнической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самости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(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Selbst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).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Всё-таки Шагал читал и Библию, и «Мертвые души», был такой читательский грех и за Матиссом, Пикассо, Эрнстом и пр.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Калька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sBook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вошла в культурный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обиход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позже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примерно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на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рубеже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1950-60-х.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Она – не знаю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уж, отрефлексировано или явочным порядком, отражала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тогдашнюю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экспансию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поп-арта.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Книга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бралась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 оборот прежде всего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как трехмерный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объект,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которым – вручную – работал художник, иногда отсылая к литературной «начинке», а чаще – нет. С тех пор повелось: текст в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ArtistBook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может быть «настоящим», это не возбраняется, но чаще это что-то служебное, справочное, а часто – и вовсе авторское.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6F0B9577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Читай – опять же служебное: писательской гениальности от художников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artisis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sbook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не ожидается. Да оно им и не нужно: у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sbooks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собственная текстуальность. Иногда, «для чайников», об этом напоминается специально: прогоном сквозь весь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>книжный блок какого-нибудь политипажа, символа, а то и декларативной пустотой страниц.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2A71E31A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Это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знак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того, что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sbook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самодостаточна. Она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говорит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объёмом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весом, материалами, конструкцией,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включенностью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господствующие арт-движения, полемикой с «памятью жанра», то есть с традиционной книгой (может рефлексировать то обстоятельство, что – была когда-то носителем чужого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текста,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а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может и напрочь этого не помнить). Но, главное, она берёт авторством.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Роль художника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подчеркнута уникальностью издания –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рукодельной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или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полиграфической штучностью. По сути дела,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sbook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–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multiple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. Но главное: в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sbook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художника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должно быть много, очень много. И, желательно, - хорошего художника.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Без дураков. Иначе игра не стоит свеч. Без масштаба автора (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)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sbook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, какой бы объектной или даже ассамбляжной она ни была, остаётся всего лишь вещдоком преступления против литературы, совершенного в амбициозных целях.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6E22336F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«Баллады о Дон Кихоте» с современным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образом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sbook</w:t>
      </w:r>
      <w:proofErr w:type="spellEnd"/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вступают в достаточно сложные отношения полемики и вызова. Эти отношения не артикулируются специально. Книга Кантора - конечно, – это объект, предмет.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Малотиражный авторский –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multiple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. С инвестированным в него ручным трудом. И, чего-чего, а уж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– Максима Кантора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-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здесь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много. Очень много. Кантор не только рисует, оформляет, придумывает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макет,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следит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за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печатью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цветных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в два камня, литографий, контролирует набор, качество литой бумаги,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изготовления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обложки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, переплета и футляра.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А вот далее начинается вызов. Кантора много не только как художника. Но и как филолога. Практически –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 xml:space="preserve">текстолога.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Он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делает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наиболее полную подборку баллад на русском, отбирая лучших поэтов-переводчиков. Чего не хватает – переводит сам. Впервые - на русский.</w:t>
      </w:r>
    </w:p>
    <w:p w14:paraId="311C251B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Такого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филологического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напора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современная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Artist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’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sBook</w:t>
      </w:r>
      <w:proofErr w:type="spellEnd"/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не знает. Но этот сюжет остался бы факультативным, если бы не напор интерпретационный. Каким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образом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Робин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Гуд становится – канторовским? С тем же удовольствием, с которым какой – нибудь Йост Амман изображал в гравюре своего брата – гравера, Кантор изображает своих. Себя самого, пусть и полускрытого накидкой с колпаком, жену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Дарью, отца-философа, свою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братью – сочинителей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(безвременно ушедшего питерского критика и переводчика В.Топорова, с которым он задумал издание, его публикаторскую, во всяком случае, часть, литератора Д.Быкова), кого - то ещё из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публичных людей, так или иначе с художником соприкасавшихся.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Изображает в качестве героев, исполнителей и слушателей баллады. Этот приём архаически прост, но эффективен. За ним - первичный импульс: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приблизить,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одомашнить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балладу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посредством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ритуала,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уподобляющего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сегодняшнее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семейное чтение средневековому аналогу – коллективному прослушиванию певца собравшимся у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комелька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людом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. Усесться рядком, своим кругом, поделиться новостями, послушать певца, растолковать домашним темные места текста. С сегодняшним добавлением – рассматриванием иллюстраций.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1FC85959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У этой персонификации, вообще говоря, большой содержательный ресурс. Следующий план – не приближение балладного, а приближение к балладному.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Вживание в него.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64186B52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>Никакого костюмирования, стилизации поведенческого рисунка, вообще «исполнительства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» :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Кантор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не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предлагает «своим» действовать в предложенных исторических обстоятельствах. Исторические обстоятельства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сами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действуют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на своих, вовлекают их в своё стечение. Узнаваемость теперь – знак того, что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баллада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-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«на все времена»: в конце концов, герои всегда борются с несправедливостью, точно так же,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как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всегда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разлучаются влюбленные, страдают бедняки, резонерствуют умники,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зверствуют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солдатня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жируют власть имущие, пьют бражники, лгут беспутные монахи. И все пребывают в растерянности, когда ощущают вдруг действие каких-то высших, не зависящих от личной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воли,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сил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. Здесь – забегу вперед, - есть ещё один содержательный план: растерянность, неуверенность перед предначертанностью.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17DA0747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Кантор уподобляет себя Робин Гуду (приём естественный, идущий из детства). Конечно, он геройствует, по балладной необходимости. Но в ряде эпизодов он предстаёт в некотором недоумении, как бы выпадая из балладной роли. Ещё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чаще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художник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изображает Робин Гуда (себя) в обнимку с балладной подругой (в образе жены Дарьи). Конечно, здесь есть текстуальное обоснование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(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«Робин Гуд и дочь дубильщика», «Подлинная история Робин Гуда»): «Жить будем вместе, - поклялись, - И вместе мы умрём!». Но главное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- это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своего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рода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попытка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ухода в частную жизнь, отказ от геройства. Отсюда – нарастающая статика, устойчивость: Робин и его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возлюбленная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стоят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 обнимку, как бы заслоняя друг друга от разворачивающегося повсюду действия. Но баллада снова и снова вовлекает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героя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свою динамику. И снова «отпускает» его.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 завершение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 xml:space="preserve">иллюстрационного цикла персонифицированные Робин Гуд с подругой и детишками прощаются – со зрителями? С историей? С балладой, которая будет жить сама по себе,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в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другом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исполнении?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Здесь, в этом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образе,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есть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облегчение от бремени жить по балладным обязательствам. И есть некая грусть расставания с ними: с привычкой жертвовать собой, семьёй и прочим частно-человеческим ради борьбы с несправедливостями. Борьбы в режиме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n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n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-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stop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2255E425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 связи с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изобразительной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персонификацией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действующих лиц балладного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цикла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есть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ещё один, углубленный план, открывающийся только в контексте понимания творчества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художника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целом. Кантору-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живописцу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необыкновенно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дороги образы родителей, причём в контексте их вовлеченности в историю. Это вовлеченность участия, «делания истории», но и – вытеснения из неё. Отзвуки этой темы ощутимы в иллюстрациях - портретных рисунках. Это, как правило, маргиналии в буквальном и образном планах: изображения на полях страницы, на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обочине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действия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. Но и в многофигурных литографиях нет-нет да и возникают стоп-кадры –портретные образы родителей как персонажей, неотвратимо вовлеченных в движение людских масс, но не оставляющих попытки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понять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суть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событий. Как правило, они – часть движущейся людской массы, но они – отдельны (отсюда мой термин – стоп-кадр: статичность изображенных). Таким отдельным от обтекающей его толпы предстаёт странник (в образе отца художника) -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человек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молящийся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, ужасающийся, бросающий вызов року.</w:t>
      </w:r>
    </w:p>
    <w:p w14:paraId="541E1F81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Кантору вообще важен мотив движения толпы – не менее собственно сюжетных сцен. Ему, этому движению, посвящены многие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литографские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развороты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. Каждый персонаж в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толпе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характеризован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достаточно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 xml:space="preserve">остро. Немудрено – из толпы рекрутируются герои баллад, персонифицированные художником – об этом уже говорилось. Но и сама толпа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-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все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эти путники, йомены, странствующие монахи, горожане, бродяги, бражники, блудницы, воины – наделена важнейшей коллективной функцией. Подобной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роли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античного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хора, оттеняющего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конкретику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действия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некой общей темой рока. Вот эта брейгелевская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( отсюда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– мотивы скелетов, слепцов, гаргулий) тема – сугубо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канторовский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ракурс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прочтения англо-шотландской баллады.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Ракурс, обусловленный вечным интересом Кантора- социального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художника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к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массам и «путеводным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схемам»(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К.Леви-Стросс), по которым они движутся.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22AB7D51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Так что – никакого преодоления книги. Вызов канторовского «Робин Гуда» - в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глубине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вживаемости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 литературу.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В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выжимаемости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из неё визуальных образов, которым уготована самостоятельная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жизнь..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27F36405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  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       </w:t>
      </w:r>
    </w:p>
    <w:p w14:paraId="3F50D441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Теперь, собственно, о визуализации.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1AEBA38C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Естественно,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самом литературном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материале,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средневековой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англо-шотландской балладе, заключена отсылка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к средневековой книге. Кантор реагирует на неё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очень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избирательно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. С внешним обликом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книги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всё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понятно, это некий усредненный образ кодекса: подчеркнутая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предметность,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ремесленная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сработанность из качественных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материалов ;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берете в руки, имеете – вещь. Предметен и лист – литая бумага, но главное -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рубрикации, инициалы, орнаменты-бордюры. Конкретно-стилистические истоки? Думаю, здесь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художник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достаточно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свободен. Его авторскому индивидуальному стилю ближе всего, я полагаю, дополиграфическая, вернее,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 xml:space="preserve">предполиграфическая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книга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– например,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провинциальная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позднероманская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 её плоскостной графической экспрессией, говорящими жестами, повышенным тонусом повествовательности. О стилизации нет и речи – всё это оказалось созвучно индивидуальному экспрессивному рисуночному стилю Кантора, в сложном генезисе которого, наряду с прочим, -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примитивизирующая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дидактичность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народной политической картинки эпохи Крестьянских войн. Кантор не боится дидактичности, долбит и долбит в одну точку до последней степени досказанности. Боится он,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скорее,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формульности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умозрительности тропов (иносказаний, символизации и пр.). Установка на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убедительность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идёт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от социальной графики Кантора. Как политический рисовальщик, он имеет дело с достаточно отвлеченными материями и персонажами – политическими символами ХХ века. Чтобы преодолеть умозрительность ему как воздух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нужна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витальность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. Поэтому рисуночный стиль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Кантора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-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двигательный, проникнутый «жестовой силой» (Ю.Тынянов), опирающийся на «ухваченность» позы, мимики, жеста. Двигательный характер несёт и рисунок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 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декорации листа: буквиц, орнаментов, заставок. Собственно, это единая плоскость (тип иллюстрации-окна практически не встречается): шрифтовые блоки «прорастают» орнаментами, инициалы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выстреливают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изобразительными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заставками вплоть до противоположного поля разворота. В целом в сопровождающих текст рисунках и декоративных мотивах этот двигательный импульс сочетается с неизбежной долей условности: отсылки, пусть опосредованные, к средневековью требуют того.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Большие литографированные (часть – выполнена в шелкографии) развороты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несколько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отличаются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от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>рисунков, сопровождающих текст, как раз освобожденностью от любых культурных отсылок.</w:t>
      </w:r>
    </w:p>
    <w:p w14:paraId="5CEDF4D8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Здесь торжествует полнокровное, сочное, с каким-то антропологическим даже уклоном (недаром здесь так громко звучит брейгелевская тема с её метаморфозами телесного – от пышного цветения плоти до специфической поведенческой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убедительности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скелетов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), плотское рисование.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Художнику просто необходимо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( собственно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необходимо подвести к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этому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зрителя)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почти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тактильное соприкосновение с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этой живой фактурой. Есть практика иллюстрирования, артикулирующая культуру умышленности, ухода в условность. У Кантора, в этих разворотах, наоборот: это своего рода выход в телесность, в витальность.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2FD6EB25" w14:textId="77777777" w:rsidR="002F0F3B" w:rsidRPr="002F0F3B" w:rsidRDefault="002F0F3B" w:rsidP="002F0F3B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И последнее. Почему, собственно, «Робин Гуд»? Тут всё просто. Мы с Максимом Кантором примерно одного поколения. Для нашего детства и отрочества англо-шотландская баллада, удивительным образом заговорившая на русском языке благодаря выдающимся советским переводчикам, была откровением. Странный парадокс – советское общество с его закостеневшей системой иерархий и номенклатур, бюрократических опосредований и ритуалов, давало возможность воспитывать детей на произведениях вопиюще антисистемных. Трудно сказать – недосмотрели идеологи, или слишком велик был авторитет С.Маршака, задавшего матрицу русского демократического прочтения баллады, но – случилось. Никакого культа вождя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( Робину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Гуду могут намять бока и Маленький Джон, и Кожевник, да мало ли кто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ещё )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никакого культа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организации,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никаких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объединяющих в единое целое ритуалов.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6307BAC3" w14:textId="77777777" w:rsidR="002F0F3B" w:rsidRPr="002F0F3B" w:rsidRDefault="002F0F3B" w:rsidP="002F0F3B">
      <w:pPr>
        <w:spacing w:after="0" w:afterAutospacing="0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 xml:space="preserve">Необратимая раскачивающаяся, благодаря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рефренам,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ритмика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вдалбливала в наши головы простые демократические истины: справедливость, наказание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зла,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презрение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к власть имущим. Советский подросток, естественно, не осознававший того, что живёт в иерархическом, номенклатурном обществе, интуитивно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ощущал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репрессивность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заорганизованность взрослого мира. Он инстинктивно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жаждал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прямой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фольклорной справедливости, носителем которой был народный, пришедший откуда-то извне (сегодня взрослые бы сказали –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внесистемный)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герой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-заступник, который ставит на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место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королей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, шерифов и прочих силовиков.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                                                                                               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  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Русским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художникам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лучше всего удавались иллюстрации к западной классике тогда, когда у них была какая-то не только художественная, но и личная биографическая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мотивировка :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К.Сомов(</w:t>
      </w:r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val="ru-RU" w:eastAsia="it-IT"/>
          <w14:ligatures w14:val="none"/>
        </w:rPr>
        <w:t>"</w:t>
      </w:r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eastAsia="it-IT"/>
          <w14:ligatures w14:val="none"/>
        </w:rPr>
        <w:t>Le</w:t>
      </w:r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val="ru-RU" w:eastAsia="it-IT"/>
          <w14:ligatures w14:val="none"/>
        </w:rPr>
        <w:t xml:space="preserve"> 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eastAsia="it-IT"/>
          <w14:ligatures w14:val="none"/>
        </w:rPr>
        <w:t>livre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eastAsia="it-IT"/>
          <w14:ligatures w14:val="none"/>
        </w:rPr>
        <w:t>de</w:t>
      </w:r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eastAsia="it-IT"/>
          <w14:ligatures w14:val="none"/>
        </w:rPr>
        <w:t>la</w:t>
      </w:r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val="ru-RU" w:eastAsia="it-IT"/>
          <w14:ligatures w14:val="none"/>
        </w:rPr>
        <w:t xml:space="preserve"> </w:t>
      </w:r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eastAsia="it-IT"/>
          <w14:ligatures w14:val="none"/>
        </w:rPr>
        <w:t>Marquise</w:t>
      </w:r>
      <w:r w:rsidRPr="002F0F3B">
        <w:rPr>
          <w:rFonts w:ascii="Arial" w:eastAsia="Times New Roman" w:hAnsi="Arial" w:cs="Arial"/>
          <w:color w:val="222222"/>
          <w:kern w:val="0"/>
          <w:sz w:val="31"/>
          <w:szCs w:val="31"/>
          <w:lang w:val="ru-RU" w:eastAsia="it-IT"/>
          <w14:ligatures w14:val="none"/>
        </w:rPr>
        <w:t>")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Е. Кибрик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( Р.Роллан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), В. Конашевич (Прево), К.Рудаков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( Мопассан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), Г. Калиновский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( Льюис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Кэролл). Что-то, что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вне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заказа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, культуртрегерских обязательств, стилистики: какой-то личный опыт, социальный, чувственный, познавательно-интеллектуальный.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М. Кантор где-то близок этому ряду.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Чем не мотив: вернуть, хотя бы отчасти, эту </w:t>
      </w:r>
      <w:proofErr w:type="gram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подростковую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веру</w:t>
      </w:r>
      <w:proofErr w:type="gram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 справедливость. Оседлав мерную, как раскачка в седле, ритмику баллады, спешить Робин Гуду на помогу.</w:t>
      </w: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3A94C041" w14:textId="77777777" w:rsidR="002F0F3B" w:rsidRPr="002F0F3B" w:rsidRDefault="002F0F3B" w:rsidP="002F0F3B">
      <w:pPr>
        <w:spacing w:after="0" w:afterAutospacing="0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ru-RU" w:eastAsia="it-IT"/>
          <w14:ligatures w14:val="none"/>
        </w:rPr>
      </w:pPr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77A0494A" w14:textId="77777777" w:rsidR="002F0F3B" w:rsidRPr="002F0F3B" w:rsidRDefault="002F0F3B" w:rsidP="002F0F3B">
      <w:pPr>
        <w:spacing w:after="0" w:afterAutospacing="0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it-IT"/>
          <w14:ligatures w14:val="none"/>
        </w:rPr>
      </w:pP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Александр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Боровский</w:t>
      </w:r>
      <w:proofErr w:type="spellEnd"/>
      <w:r w:rsidRPr="002F0F3B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                    </w:t>
      </w:r>
    </w:p>
    <w:p w14:paraId="1AC20BE7" w14:textId="77777777" w:rsidR="001E56E9" w:rsidRDefault="001E56E9"/>
    <w:sectPr w:rsidR="001E5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3B"/>
    <w:rsid w:val="001E56E9"/>
    <w:rsid w:val="002F0F3B"/>
    <w:rsid w:val="005521C3"/>
    <w:rsid w:val="00E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74F81F"/>
  <w15:chartTrackingRefBased/>
  <w15:docId w15:val="{999E1B22-1D7E-444A-807F-7261969C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0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0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F0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0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0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0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0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0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0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0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0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F0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0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0F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0F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0F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0F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0F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0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0F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0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0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0F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0F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0F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0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0F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0F3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2F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2086</Words>
  <Characters>11895</Characters>
  <Application>Microsoft Office Word</Application>
  <DocSecurity>0</DocSecurity>
  <Lines>99</Lines>
  <Paragraphs>27</Paragraphs>
  <ScaleCrop>false</ScaleCrop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barbano</dc:creator>
  <cp:keywords/>
  <dc:description/>
  <cp:lastModifiedBy>cristina barbano</cp:lastModifiedBy>
  <cp:revision>1</cp:revision>
  <dcterms:created xsi:type="dcterms:W3CDTF">2026-03-17T19:25:00Z</dcterms:created>
  <dcterms:modified xsi:type="dcterms:W3CDTF">2026-03-17T19:26:00Z</dcterms:modified>
</cp:coreProperties>
</file>